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458" w:rsidRDefault="00EC5458" w:rsidP="00A32723">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rPr>
        <w:t>Додаток</w:t>
      </w:r>
    </w:p>
    <w:p w:rsidR="00EC5458" w:rsidRDefault="00EC5458" w:rsidP="00A32723">
      <w:pPr>
        <w:spacing w:after="0" w:line="240" w:lineRule="auto"/>
        <w:jc w:val="right"/>
        <w:rPr>
          <w:rFonts w:ascii="Times New Roman" w:hAnsi="Times New Roman"/>
          <w:sz w:val="28"/>
          <w:szCs w:val="28"/>
          <w:lang w:val="uk-UA"/>
        </w:rPr>
      </w:pPr>
      <w:r>
        <w:rPr>
          <w:rFonts w:ascii="Times New Roman" w:hAnsi="Times New Roman"/>
          <w:sz w:val="28"/>
          <w:szCs w:val="28"/>
          <w:lang w:val="uk-UA"/>
        </w:rPr>
        <w:t>до рішення сесії №39/11</w:t>
      </w:r>
    </w:p>
    <w:p w:rsidR="00EC5458" w:rsidRDefault="00EC5458" w:rsidP="00A32723">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від 15.01.2014 року </w:t>
      </w:r>
    </w:p>
    <w:p w:rsidR="00EC5458" w:rsidRDefault="00EC5458" w:rsidP="00A32723">
      <w:pPr>
        <w:spacing w:after="0" w:line="240" w:lineRule="auto"/>
        <w:rPr>
          <w:rFonts w:ascii="Times New Roman" w:hAnsi="Times New Roman"/>
          <w:sz w:val="28"/>
          <w:szCs w:val="28"/>
        </w:rPr>
      </w:pPr>
    </w:p>
    <w:p w:rsidR="00EC5458" w:rsidRDefault="00EC5458" w:rsidP="00A32723">
      <w:pPr>
        <w:spacing w:after="0" w:line="240" w:lineRule="auto"/>
        <w:contextualSpacing/>
        <w:jc w:val="center"/>
        <w:rPr>
          <w:rFonts w:ascii="Times New Roman" w:hAnsi="Times New Roman"/>
          <w:sz w:val="28"/>
          <w:szCs w:val="28"/>
        </w:rPr>
      </w:pPr>
      <w:r>
        <w:rPr>
          <w:rFonts w:ascii="Times New Roman" w:hAnsi="Times New Roman"/>
          <w:sz w:val="28"/>
          <w:szCs w:val="28"/>
        </w:rPr>
        <w:t>ПОЛОЖЕННЯ</w:t>
      </w:r>
    </w:p>
    <w:p w:rsidR="00EC5458" w:rsidRDefault="00EC5458" w:rsidP="00A32723">
      <w:pPr>
        <w:spacing w:after="0" w:line="240" w:lineRule="auto"/>
        <w:jc w:val="center"/>
        <w:rPr>
          <w:rFonts w:ascii="Times New Roman" w:hAnsi="Times New Roman"/>
          <w:sz w:val="28"/>
          <w:szCs w:val="28"/>
          <w:lang w:val="uk-UA"/>
        </w:rPr>
      </w:pPr>
      <w:r>
        <w:rPr>
          <w:rFonts w:ascii="Times New Roman" w:hAnsi="Times New Roman"/>
          <w:sz w:val="28"/>
          <w:szCs w:val="28"/>
        </w:rPr>
        <w:t xml:space="preserve">про порядок обчислення та сплати податку на нерухоме майно, відмінне від земельної ділянки у </w:t>
      </w:r>
      <w:r>
        <w:rPr>
          <w:rFonts w:ascii="Times New Roman" w:hAnsi="Times New Roman"/>
          <w:sz w:val="28"/>
          <w:szCs w:val="28"/>
          <w:lang w:val="uk-UA"/>
        </w:rPr>
        <w:t xml:space="preserve">Лудинській </w:t>
      </w:r>
      <w:r>
        <w:rPr>
          <w:rFonts w:ascii="Times New Roman" w:hAnsi="Times New Roman"/>
          <w:sz w:val="28"/>
          <w:szCs w:val="28"/>
        </w:rPr>
        <w:t>сільській раді</w:t>
      </w:r>
    </w:p>
    <w:p w:rsidR="00EC5458" w:rsidRDefault="00EC5458" w:rsidP="00A32723">
      <w:pPr>
        <w:spacing w:after="0" w:line="240" w:lineRule="auto"/>
        <w:jc w:val="both"/>
        <w:rPr>
          <w:rFonts w:ascii="Times New Roman" w:hAnsi="Times New Roman"/>
          <w:sz w:val="28"/>
          <w:szCs w:val="28"/>
          <w:lang w:val="uk-UA"/>
        </w:rPr>
      </w:pP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1. Загальні положення</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1.1. Податок на нерухоме майно, відмінне від земельної ділянки, встановлюється згідно з Податковим кодексом України.</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 xml:space="preserve">1.2. Наведені у цьому Положенні терміни вживаються в такому значенні: </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 об’єкти житлової нерухомості - будівлі, віднесені відповідно до законодавства до житлового фонду, дачні та садові будинки. Об’єкти житлової нерухомості поділяються на такі типи:</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б)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в)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г) квартира - ізольоване помешкання в житловому будинку, призначене та придатне для постійного у ньому проживання;</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ґ) котедж - одно-, півтораповерховий будинок невеликої житлової площі для постійного чи тимчасового проживання з присадибною ділянкою;</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д) кімнати у багатосімейних (комунальних) квартирах – ізольоване помешкання в квартирі, в якій мешкають двоє чи більше квартиронаймачів;</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е)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EC5458" w:rsidRDefault="00EC5458" w:rsidP="00A32723">
      <w:pPr>
        <w:spacing w:after="0" w:line="240" w:lineRule="auto"/>
        <w:jc w:val="both"/>
        <w:rPr>
          <w:rFonts w:ascii="Times New Roman" w:hAnsi="Times New Roman"/>
          <w:sz w:val="28"/>
          <w:szCs w:val="28"/>
          <w:lang w:val="uk-UA"/>
        </w:rPr>
      </w:pPr>
      <w:r>
        <w:rPr>
          <w:rFonts w:ascii="Times New Roman" w:hAnsi="Times New Roman"/>
          <w:sz w:val="28"/>
          <w:szCs w:val="28"/>
        </w:rPr>
        <w:t>є) дачний будинок - житловий будинок для використання протягом року з метою позаміського відпочинку.</w:t>
      </w:r>
    </w:p>
    <w:p w:rsidR="00EC5458" w:rsidRDefault="00EC5458" w:rsidP="00A32723">
      <w:pPr>
        <w:spacing w:after="0" w:line="240" w:lineRule="auto"/>
        <w:jc w:val="both"/>
        <w:rPr>
          <w:rFonts w:ascii="Times New Roman" w:hAnsi="Times New Roman"/>
          <w:sz w:val="28"/>
          <w:szCs w:val="28"/>
          <w:lang w:val="uk-UA"/>
        </w:rPr>
      </w:pPr>
      <w:r>
        <w:rPr>
          <w:rFonts w:ascii="Times New Roman" w:hAnsi="Times New Roman"/>
          <w:sz w:val="28"/>
          <w:szCs w:val="28"/>
          <w:lang w:val="uk-UA"/>
        </w:rPr>
        <w:t>1.3.</w:t>
      </w:r>
      <w:r>
        <w:rPr>
          <w:rFonts w:ascii="Times New Roman" w:hAnsi="Times New Roman"/>
          <w:color w:val="333333"/>
          <w:sz w:val="28"/>
          <w:szCs w:val="28"/>
          <w:shd w:val="clear" w:color="auto" w:fill="FFFFFF"/>
        </w:rPr>
        <w:t xml:space="preserve"> Це Положення є обов’язковим до виконання юридичними та фізичними особами на території </w:t>
      </w:r>
      <w:r>
        <w:rPr>
          <w:rFonts w:ascii="Times New Roman" w:hAnsi="Times New Roman"/>
          <w:color w:val="333333"/>
          <w:sz w:val="28"/>
          <w:szCs w:val="28"/>
          <w:shd w:val="clear" w:color="auto" w:fill="FFFFFF"/>
          <w:lang w:val="uk-UA"/>
        </w:rPr>
        <w:t>Лудинської</w:t>
      </w:r>
      <w:r>
        <w:rPr>
          <w:rFonts w:ascii="Times New Roman" w:hAnsi="Times New Roman"/>
          <w:color w:val="333333"/>
          <w:sz w:val="28"/>
          <w:szCs w:val="28"/>
          <w:shd w:val="clear" w:color="auto" w:fill="FFFFFF"/>
        </w:rPr>
        <w:t xml:space="preserve"> сільської ради</w:t>
      </w:r>
      <w:r>
        <w:rPr>
          <w:rFonts w:ascii="Times New Roman" w:hAnsi="Times New Roman"/>
          <w:color w:val="333333"/>
          <w:sz w:val="28"/>
          <w:szCs w:val="28"/>
          <w:shd w:val="clear" w:color="auto" w:fill="FFFFFF"/>
          <w:lang w:val="uk-UA"/>
        </w:rPr>
        <w:t>.</w:t>
      </w:r>
    </w:p>
    <w:p w:rsidR="00EC5458" w:rsidRDefault="00EC5458" w:rsidP="00A32723">
      <w:pPr>
        <w:spacing w:after="0" w:line="240" w:lineRule="auto"/>
        <w:jc w:val="both"/>
        <w:rPr>
          <w:rFonts w:ascii="Times New Roman" w:hAnsi="Times New Roman"/>
          <w:sz w:val="28"/>
          <w:szCs w:val="28"/>
          <w:lang w:val="uk-UA"/>
        </w:rPr>
      </w:pP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2. Платники податку</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2.1. Платниками податку є фізичні та юридичні особи, в тому числі нерезиденти, які є власниками об’єктів житлової нерухомості.</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2.2. Визначення платників податку в разі перебування об’єктів житлової нерухомості у спільній частковій або спільній сумісній власності кількох осіб:</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а) якщо об’єкт житлової нерухомості перебуває в спільній частковій власності кількох осіб платником податку є кожна з цих осіб за належну їй частку;</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б) якщо об’єкт 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в) якщо об’єкт 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 xml:space="preserve">3. Об’єкт оподаткування </w:t>
      </w:r>
    </w:p>
    <w:p w:rsidR="00EC5458" w:rsidRDefault="00EC5458" w:rsidP="00A32723">
      <w:pPr>
        <w:pStyle w:val="rvps2"/>
        <w:shd w:val="clear" w:color="auto" w:fill="FFFFFF"/>
        <w:spacing w:before="0" w:beforeAutospacing="0" w:after="0" w:afterAutospacing="0"/>
        <w:jc w:val="both"/>
        <w:textAlignment w:val="baseline"/>
        <w:rPr>
          <w:color w:val="000000"/>
          <w:lang w:val="uk-UA"/>
        </w:rPr>
      </w:pPr>
      <w:r>
        <w:rPr>
          <w:sz w:val="28"/>
          <w:szCs w:val="28"/>
        </w:rPr>
        <w:t xml:space="preserve">3.1. </w:t>
      </w:r>
      <w:r>
        <w:rPr>
          <w:color w:val="000000"/>
          <w:sz w:val="28"/>
          <w:szCs w:val="28"/>
        </w:rPr>
        <w:t>Об'єктом оподаткування є об'єкт житлової нерухомості, в тому числі його частка</w:t>
      </w:r>
      <w:r>
        <w:rPr>
          <w:color w:val="000000"/>
        </w:rPr>
        <w:t>.</w:t>
      </w:r>
    </w:p>
    <w:p w:rsidR="00EC5458" w:rsidRDefault="00EC5458" w:rsidP="00A32723">
      <w:pPr>
        <w:spacing w:after="0" w:line="240" w:lineRule="auto"/>
        <w:jc w:val="both"/>
        <w:rPr>
          <w:rFonts w:ascii="Times New Roman" w:hAnsi="Times New Roman"/>
          <w:sz w:val="28"/>
          <w:szCs w:val="28"/>
          <w:lang w:val="uk-UA"/>
        </w:rPr>
      </w:pPr>
      <w:r>
        <w:rPr>
          <w:rFonts w:ascii="Times New Roman" w:hAnsi="Times New Roman"/>
          <w:sz w:val="28"/>
          <w:szCs w:val="28"/>
          <w:lang w:val="uk-UA"/>
        </w:rPr>
        <w:t>3.2. Не є об’єктом оподаткування:</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а) об'єкти житлової нерухомості, які перебувають у власності держави або територіальних громад (їх спільній власності);</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б) об'єкти житлової нерухомості, які розташовані в зонах відчуження та безумовного (обов'язкового) відселення, визначені законом, в тому числі їх частки;</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lang w:val="uk-UA"/>
        </w:rPr>
        <w:t xml:space="preserve"> </w:t>
      </w:r>
      <w:r>
        <w:rPr>
          <w:color w:val="000000"/>
          <w:sz w:val="28"/>
          <w:szCs w:val="28"/>
        </w:rPr>
        <w:t>в) будівлі дитячих будинків сімейного типу;</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г) садовий або дачний будинок, але не більше одного такого об'єкта на одного платника податку;</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ґ) об’єкти житлової нерухомості, в тому числі їх частки, що належать фізичним особам, які відповідно до закону мають статус багатодітних або прийомних, або малозабезпечених сімей, опікунів, піклувальників дітей, але не більше одного такого об’єкта на сім’ю, опікуна, піклувальника;</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д) гуртожитки;</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е)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EC5458" w:rsidRDefault="00EC5458" w:rsidP="00A32723">
      <w:pPr>
        <w:spacing w:after="0" w:line="240" w:lineRule="auto"/>
        <w:jc w:val="both"/>
        <w:rPr>
          <w:rFonts w:ascii="Times New Roman" w:hAnsi="Times New Roman"/>
          <w:sz w:val="28"/>
          <w:szCs w:val="28"/>
        </w:rPr>
      </w:pP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 xml:space="preserve">4. База оподаткування </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4.1.</w:t>
      </w:r>
      <w:r>
        <w:rPr>
          <w:rFonts w:ascii="Times New Roman" w:hAnsi="Times New Roman"/>
          <w:color w:val="000000"/>
          <w:sz w:val="28"/>
          <w:szCs w:val="28"/>
        </w:rPr>
        <w:t xml:space="preserve"> Базою оподаткування є житлова площа об'єкта житлової нерухомості, в тому числі його часток</w:t>
      </w:r>
      <w:r>
        <w:rPr>
          <w:rFonts w:ascii="Times New Roman" w:hAnsi="Times New Roman"/>
          <w:sz w:val="28"/>
          <w:szCs w:val="28"/>
        </w:rPr>
        <w:t>.</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 xml:space="preserve">4.2. </w:t>
      </w:r>
      <w:r>
        <w:rPr>
          <w:rFonts w:ascii="Times New Roman" w:hAnsi="Times New Roman"/>
          <w:color w:val="000000"/>
          <w:sz w:val="28"/>
          <w:szCs w:val="28"/>
        </w:rPr>
        <w:t>База оподаткування об'єктів 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w:t>
      </w:r>
      <w:r>
        <w:rPr>
          <w:rFonts w:ascii="Times New Roman" w:hAnsi="Times New Roman"/>
          <w:sz w:val="28"/>
          <w:szCs w:val="28"/>
        </w:rPr>
        <w:t>.</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sz w:val="28"/>
          <w:szCs w:val="28"/>
        </w:rPr>
        <w:t xml:space="preserve">4.3. </w:t>
      </w:r>
      <w:r>
        <w:rPr>
          <w:color w:val="000000"/>
          <w:sz w:val="28"/>
          <w:szCs w:val="28"/>
        </w:rPr>
        <w:t>База оподаткування об'єктів житлової нерухомості, в тому числі їх часток, що перебувають у власності юридичних осіб, обчислюється такими особами самостійно виходячи з житлової площі кожного окремого об’єкта оподаткування на підставі документів, що підтверджують право власності на такий об'єкт.</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4.4. У разі наявності у платника податку кількох об’єктів оподаткування база оподаткування обчислюється</w:t>
      </w:r>
      <w:r>
        <w:rPr>
          <w:rFonts w:ascii="Times New Roman" w:hAnsi="Times New Roman"/>
          <w:sz w:val="28"/>
          <w:szCs w:val="28"/>
          <w:lang w:val="uk-UA"/>
        </w:rPr>
        <w:t xml:space="preserve"> вих</w:t>
      </w:r>
      <w:r>
        <w:rPr>
          <w:rFonts w:ascii="Times New Roman" w:hAnsi="Times New Roman"/>
          <w:sz w:val="28"/>
          <w:szCs w:val="28"/>
        </w:rPr>
        <w:t>о</w:t>
      </w:r>
      <w:r>
        <w:rPr>
          <w:rFonts w:ascii="Times New Roman" w:hAnsi="Times New Roman"/>
          <w:sz w:val="28"/>
          <w:szCs w:val="28"/>
          <w:lang w:val="uk-UA"/>
        </w:rPr>
        <w:t>дячи із сумарної житлової площі таких обєктів з урахуванням норм пп.265.4.1 п.265.4 ст.265 Податкового кодексу</w:t>
      </w:r>
      <w:r>
        <w:rPr>
          <w:rFonts w:ascii="Times New Roman" w:hAnsi="Times New Roman"/>
          <w:sz w:val="28"/>
          <w:szCs w:val="28"/>
        </w:rPr>
        <w:t>.</w:t>
      </w:r>
    </w:p>
    <w:p w:rsidR="00EC5458" w:rsidRDefault="00EC5458" w:rsidP="00A32723">
      <w:pPr>
        <w:pStyle w:val="rvps2"/>
        <w:shd w:val="clear" w:color="auto" w:fill="FFFFFF"/>
        <w:spacing w:before="0" w:beforeAutospacing="0" w:after="0" w:afterAutospacing="0"/>
        <w:jc w:val="both"/>
        <w:textAlignment w:val="baseline"/>
        <w:rPr>
          <w:i/>
          <w:iCs/>
          <w:color w:val="000000"/>
          <w:sz w:val="28"/>
          <w:szCs w:val="28"/>
          <w:bdr w:val="none" w:sz="0" w:space="0" w:color="auto" w:frame="1"/>
          <w:lang w:val="uk-UA"/>
        </w:rPr>
      </w:pPr>
    </w:p>
    <w:p w:rsidR="00EC5458" w:rsidRDefault="00EC5458" w:rsidP="00A32723">
      <w:pPr>
        <w:spacing w:after="0" w:line="240" w:lineRule="auto"/>
        <w:jc w:val="both"/>
        <w:rPr>
          <w:rFonts w:ascii="Times New Roman" w:hAnsi="Times New Roman"/>
          <w:sz w:val="28"/>
          <w:szCs w:val="28"/>
          <w:lang w:val="uk-UA"/>
        </w:rPr>
      </w:pPr>
      <w:r>
        <w:rPr>
          <w:rFonts w:ascii="Times New Roman" w:hAnsi="Times New Roman"/>
          <w:sz w:val="28"/>
          <w:szCs w:val="28"/>
          <w:lang w:val="uk-UA"/>
        </w:rPr>
        <w:t>5. Пільги зі сплати податку</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lang w:val="uk-UA"/>
        </w:rPr>
      </w:pPr>
      <w:r>
        <w:rPr>
          <w:sz w:val="28"/>
          <w:szCs w:val="28"/>
          <w:lang w:val="uk-UA"/>
        </w:rPr>
        <w:t xml:space="preserve">5.1. </w:t>
      </w:r>
      <w:r>
        <w:rPr>
          <w:color w:val="000000"/>
          <w:sz w:val="28"/>
          <w:szCs w:val="28"/>
          <w:lang w:val="uk-UA"/>
        </w:rPr>
        <w:t>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EC5458" w:rsidRDefault="00EC5458" w:rsidP="00A32723">
      <w:pPr>
        <w:pStyle w:val="rvps2"/>
        <w:shd w:val="clear" w:color="auto" w:fill="FFFFFF"/>
        <w:spacing w:before="0" w:beforeAutospacing="0" w:after="0" w:afterAutospacing="0"/>
        <w:jc w:val="both"/>
        <w:textAlignment w:val="baseline"/>
        <w:rPr>
          <w:color w:val="000000"/>
          <w:sz w:val="28"/>
          <w:szCs w:val="28"/>
        </w:rPr>
      </w:pPr>
      <w:r>
        <w:rPr>
          <w:color w:val="000000"/>
          <w:sz w:val="28"/>
          <w:szCs w:val="28"/>
          <w:lang w:val="uk-UA"/>
        </w:rPr>
        <w:t xml:space="preserve"> </w:t>
      </w:r>
      <w:r>
        <w:rPr>
          <w:color w:val="000000"/>
          <w:sz w:val="28"/>
          <w:szCs w:val="28"/>
        </w:rPr>
        <w:t>а) для квартири/квартир незалежно від їх кількості - на 120 кв. метрів;</w:t>
      </w:r>
    </w:p>
    <w:p w:rsidR="00EC5458" w:rsidRDefault="00EC5458" w:rsidP="00A32723">
      <w:pPr>
        <w:pStyle w:val="rvps2"/>
        <w:shd w:val="clear" w:color="auto" w:fill="FFFFFF"/>
        <w:spacing w:before="0" w:beforeAutospacing="0" w:after="0" w:afterAutospacing="0"/>
        <w:jc w:val="both"/>
        <w:textAlignment w:val="baseline"/>
        <w:rPr>
          <w:color w:val="000000"/>
          <w:sz w:val="28"/>
          <w:szCs w:val="28"/>
        </w:rPr>
      </w:pPr>
      <w:r>
        <w:rPr>
          <w:color w:val="000000"/>
          <w:sz w:val="28"/>
          <w:szCs w:val="28"/>
        </w:rPr>
        <w:t>б) для житлового будинку/будинків незалежно від їх кількості - на 250 кв. метрів;</w:t>
      </w:r>
    </w:p>
    <w:p w:rsidR="00EC5458" w:rsidRDefault="00EC5458" w:rsidP="00A32723">
      <w:pPr>
        <w:pStyle w:val="rvps2"/>
        <w:shd w:val="clear" w:color="auto" w:fill="FFFFFF"/>
        <w:spacing w:before="0" w:beforeAutospacing="0" w:after="0" w:afterAutospacing="0"/>
        <w:jc w:val="both"/>
        <w:textAlignment w:val="baseline"/>
        <w:rPr>
          <w:color w:val="000000"/>
          <w:sz w:val="28"/>
          <w:szCs w:val="28"/>
        </w:rPr>
      </w:pPr>
      <w:r>
        <w:rPr>
          <w:color w:val="000000"/>
          <w:sz w:val="28"/>
          <w:szCs w:val="28"/>
        </w:rPr>
        <w:t>в) для різних видів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370 кв. метрів.</w:t>
      </w:r>
    </w:p>
    <w:p w:rsidR="00EC5458" w:rsidRDefault="00EC5458" w:rsidP="00A32723">
      <w:pPr>
        <w:pStyle w:val="rvps2"/>
        <w:shd w:val="clear" w:color="auto" w:fill="FFFFFF"/>
        <w:spacing w:before="0" w:beforeAutospacing="0" w:after="0" w:afterAutospacing="0"/>
        <w:jc w:val="both"/>
        <w:textAlignment w:val="baseline"/>
        <w:rPr>
          <w:color w:val="000000"/>
          <w:sz w:val="28"/>
          <w:szCs w:val="28"/>
        </w:rPr>
      </w:pPr>
      <w:r>
        <w:rPr>
          <w:color w:val="000000"/>
          <w:sz w:val="28"/>
          <w:szCs w:val="28"/>
        </w:rPr>
        <w:t>Таке зменшення надається один раз за кожний базовий податковий (звітний) період (рік).</w:t>
      </w:r>
    </w:p>
    <w:p w:rsidR="00EC5458" w:rsidRDefault="00EC5458" w:rsidP="00A32723">
      <w:pPr>
        <w:pStyle w:val="rvps2"/>
        <w:shd w:val="clear" w:color="auto" w:fill="FFFFFF"/>
        <w:spacing w:before="0" w:beforeAutospacing="0" w:after="0" w:afterAutospacing="0"/>
        <w:jc w:val="both"/>
        <w:textAlignment w:val="baseline"/>
        <w:rPr>
          <w:color w:val="000000"/>
          <w:sz w:val="28"/>
          <w:szCs w:val="28"/>
        </w:rPr>
      </w:pPr>
      <w:r>
        <w:rPr>
          <w:color w:val="000000"/>
          <w:sz w:val="28"/>
          <w:szCs w:val="28"/>
        </w:rPr>
        <w:t>Пільги із сплати податку не надаються на об’єкти оподаткування, що використовуються їх власниками з метою одержання доходів (здаються в оренду, лізинг, використовуються у підприємницькій діяльності).</w:t>
      </w:r>
    </w:p>
    <w:p w:rsidR="00EC5458" w:rsidRDefault="00EC5458" w:rsidP="00A32723">
      <w:pPr>
        <w:spacing w:after="0" w:line="240" w:lineRule="auto"/>
        <w:jc w:val="both"/>
        <w:rPr>
          <w:rFonts w:ascii="Times New Roman" w:hAnsi="Times New Roman"/>
          <w:sz w:val="28"/>
          <w:szCs w:val="28"/>
          <w:lang w:val="uk-UA"/>
        </w:rPr>
      </w:pP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6. Ставка податку</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Ставки податку для фізичних осіб встановлюються в таких розмірах:</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а) 1 відсоток - для квартири/квартир, житлова площа яких не перевищує 240 кв. метрів, або житлового будинку/будинків, житлова площа яких не перевищує 500 кв. метрів;</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б) 2,7 відсотка - для квартири/квартир, житлова площа яких перевищує 240 кв. метрів, або житлового будинку/будинків, житлова площа яких перевищує 500 кв. метрів;</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в) 1 відсоток - для різних видів об’єктів житлової нерухомості, що перебувають у власності одного платника податку, сумарна житлова площа яких не перевищує 740 кв. метрів;</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г) 2,7 відсотка - для різних видів об’єктів житлової нерухомості, що перебувають у власності одного платника податку, сумарна житлова площа яких перевищує 740 кв. метрів.</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Ставки податку для юридичних осіб встановлюються в таких розмірах:</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а) 1 відсоток - для квартир, житлова площа яких не перевищує 240 кв. метрів, та житлових будинків, житлова площа яких не перевищує 500 кв. метрів;</w:t>
      </w:r>
    </w:p>
    <w:p w:rsidR="00EC5458" w:rsidRDefault="00EC5458" w:rsidP="00A32723">
      <w:pPr>
        <w:pStyle w:val="rvps2"/>
        <w:shd w:val="clear" w:color="auto" w:fill="FFFFFF"/>
        <w:spacing w:before="0" w:beforeAutospacing="0" w:after="0" w:afterAutospacing="0"/>
        <w:ind w:firstLine="450"/>
        <w:jc w:val="both"/>
        <w:textAlignment w:val="baseline"/>
        <w:rPr>
          <w:color w:val="000000"/>
          <w:sz w:val="28"/>
          <w:szCs w:val="28"/>
        </w:rPr>
      </w:pPr>
      <w:r>
        <w:rPr>
          <w:color w:val="000000"/>
          <w:sz w:val="28"/>
          <w:szCs w:val="28"/>
        </w:rPr>
        <w:t>б) 2,7 відсотка - для квартир, житлова площа яких перевищує 240 кв. метрів, та житлових будинків, житлова площа яких перевищує 500 кв. метрів.</w:t>
      </w:r>
    </w:p>
    <w:p w:rsidR="00EC5458" w:rsidRDefault="00EC5458" w:rsidP="00A32723">
      <w:pPr>
        <w:spacing w:after="0" w:line="240" w:lineRule="auto"/>
        <w:jc w:val="both"/>
        <w:rPr>
          <w:rFonts w:ascii="Times New Roman" w:hAnsi="Times New Roman"/>
          <w:sz w:val="28"/>
          <w:szCs w:val="28"/>
        </w:rPr>
      </w:pP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7. Порядок обчислення податку</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7.1. Обчислення суми податку з об’єктів житлової нерухомості, які знаходяться у власності фізичних осіб, проводиться органом державної податкової служби за місцезнаходженням об’єкту житлової нерухомості.</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7.2. Податкове повідомлення-рішення про суму податку, що підлягає сплаті, та платіжні реквізити надсилаються органами державної податкової служби платникам за місцезнаходженням об’єкта житлової нерухомості до 1 липня звітного року за формою, встановленою центральним контролюючим органом (центральним органом державної податкової служби).</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 xml:space="preserve">Щодо новоствореного (нововведеного) об’єкта житлової нерухомості податок сплачується фізичною особою-платником починаючи з місяця, в якому виникло право власності на такий об’єкт. </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Орган державної податкової служби надсилає податкове повідомлення-рішення зазначеному власнику після отримання інформації про виникнення права власності на такий об’єкт.</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7.3. Платники податку на підставі документів, що підтверджують їх право власності на об’єкт оподаткування та місце проживання (реєстрації), мають право звернутися до органів державної податкової служби для звірки даних щодо житлової площі житлової нерухомості, пільги зі сплати податку, ставки податку та нарахованої суми податку.</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Орган державної податкової служби проводить перерахунок суми податку і надсилає податкове повідомлення-рішення зазначеному власнику відповідно до цього пункту.</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7.4. Органи державної реєстрації прав на нерухоме майно, а також органи, що здійснюють реєстрацію місця проживання фізичних осіб, зобов’язані до 15 квітня року, в якому набрало чинності це Положення, а у наступні роки щоквартально, у 15-денний строк після закінчення податкового (звітного) кварталу, подавати органам державної податкової служби відомості, необхідні для розрахунку податку, за місцем розташування такого об’єкту нерухомого майна, станом на перше число відповідного кварталу в порядку визначеному Кабінетом Міністрів України.</w:t>
      </w:r>
    </w:p>
    <w:p w:rsidR="00EC5458" w:rsidRDefault="00EC5458" w:rsidP="00A32723">
      <w:pPr>
        <w:spacing w:after="0" w:line="240" w:lineRule="auto"/>
        <w:jc w:val="both"/>
        <w:rPr>
          <w:rFonts w:ascii="Times New Roman" w:hAnsi="Times New Roman"/>
          <w:sz w:val="28"/>
          <w:szCs w:val="28"/>
          <w:lang w:val="uk-UA"/>
        </w:rPr>
      </w:pPr>
      <w:r>
        <w:rPr>
          <w:rFonts w:ascii="Times New Roman" w:hAnsi="Times New Roman"/>
          <w:sz w:val="28"/>
          <w:szCs w:val="28"/>
        </w:rPr>
        <w:t>7.5. Платники податку - юридичні особи самостійно обчислюють суму податку станом на 1 січня звітного року.</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7.6. У разі набуття права власності на об’єкт житлової нерухомості протягом року податок нараховується з дня виникнення права власності на такий об’єкт.</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7.7.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Орган державної податкової служби надсилає податкове повідомлення-рішення новому власнику після отримання інформації про перехід права власності.</w:t>
      </w:r>
    </w:p>
    <w:p w:rsidR="00EC5458" w:rsidRDefault="00EC5458" w:rsidP="00A32723">
      <w:pPr>
        <w:spacing w:after="0" w:line="240" w:lineRule="auto"/>
        <w:jc w:val="both"/>
        <w:rPr>
          <w:rFonts w:ascii="Times New Roman" w:hAnsi="Times New Roman"/>
          <w:sz w:val="28"/>
          <w:szCs w:val="28"/>
        </w:rPr>
      </w:pP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8. Податковий період</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8.1. Базовий податковий (звітний) період дорівнює календарному року.</w:t>
      </w:r>
    </w:p>
    <w:p w:rsidR="00EC5458" w:rsidRDefault="00EC5458" w:rsidP="00A32723">
      <w:pPr>
        <w:spacing w:after="0" w:line="240" w:lineRule="auto"/>
        <w:jc w:val="both"/>
        <w:rPr>
          <w:rFonts w:ascii="Times New Roman" w:hAnsi="Times New Roman"/>
          <w:sz w:val="28"/>
          <w:szCs w:val="28"/>
        </w:rPr>
      </w:pP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 xml:space="preserve">9. Строк та порядок сплати податку </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 xml:space="preserve">9.1. Податок сплачується за місцем розташування об’єкта оподаткування і зараховується до бюджету </w:t>
      </w:r>
      <w:r>
        <w:rPr>
          <w:rFonts w:ascii="Times New Roman" w:hAnsi="Times New Roman"/>
          <w:sz w:val="28"/>
          <w:szCs w:val="28"/>
          <w:lang w:val="uk-UA"/>
        </w:rPr>
        <w:t xml:space="preserve">Лудинської </w:t>
      </w:r>
      <w:r>
        <w:rPr>
          <w:rFonts w:ascii="Times New Roman" w:hAnsi="Times New Roman"/>
          <w:sz w:val="28"/>
          <w:szCs w:val="28"/>
        </w:rPr>
        <w:t>сільської ради  згідно з положеннями Бюджетного кодексу України.</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9.2. Податкове зобов’язання за звітний рік з податку сплачується:</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а) фізичними особами – протягом 60 днів з дня вручення податкового повідомлення-рішення;</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EC5458" w:rsidRDefault="00EC5458" w:rsidP="00A32723">
      <w:pPr>
        <w:spacing w:after="0" w:line="240" w:lineRule="auto"/>
        <w:jc w:val="both"/>
        <w:rPr>
          <w:rFonts w:ascii="Times New Roman" w:hAnsi="Times New Roman"/>
          <w:sz w:val="28"/>
          <w:szCs w:val="28"/>
        </w:rPr>
      </w:pP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10. Строк та порядок подання звітності про обчислення і сплату податку</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10.1. Платники податку - юридичні особи подають до 1 лютого звітного року органу державної податкової служби за місцезнаходженням об’єкта оподаткування розрахунок за формою, встановленою центральним органом державної податкової служби за погодженням з Міністерством фінансів України та Комітетом Верховної Ради України, що відповідає за проведення податкової політики, з розбивкою річної суми рівними частками поквартально.</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10.2. Щодо новоствореного (нововведеного) об’єкта житлової нерухомості декларація подається протягом місяця з дня виникнення права власності на такий об’єкт.</w:t>
      </w:r>
    </w:p>
    <w:p w:rsidR="00EC5458" w:rsidRDefault="00EC5458" w:rsidP="00A32723">
      <w:pPr>
        <w:spacing w:after="0" w:line="240" w:lineRule="auto"/>
        <w:jc w:val="both"/>
        <w:rPr>
          <w:rFonts w:ascii="Times New Roman" w:hAnsi="Times New Roman"/>
          <w:sz w:val="28"/>
          <w:szCs w:val="28"/>
        </w:rPr>
      </w:pP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11. Відповідальність за порушення податкового законодавства та контроль податкових органів</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11.1. Платники податку та їх посадові особи несуть відповідальність у разі здійснення порушень, визначених податковим законодавством та іншим законодавством, контроль за яким покладено на контролюючі органи, відповідно до Податкового кодексу України та інших законів України.</w:t>
      </w:r>
    </w:p>
    <w:p w:rsidR="00EC5458" w:rsidRDefault="00EC5458" w:rsidP="00A32723">
      <w:pPr>
        <w:spacing w:after="0" w:line="240" w:lineRule="auto"/>
        <w:jc w:val="both"/>
        <w:rPr>
          <w:rFonts w:ascii="Times New Roman" w:hAnsi="Times New Roman"/>
          <w:sz w:val="28"/>
          <w:szCs w:val="28"/>
        </w:rPr>
      </w:pPr>
      <w:r>
        <w:rPr>
          <w:rFonts w:ascii="Times New Roman" w:hAnsi="Times New Roman"/>
          <w:sz w:val="28"/>
          <w:szCs w:val="28"/>
        </w:rPr>
        <w:t>11.2. За неподання, порушення порядку заповнення та строків подання податкової декларації органам державної податкової служби, недостовірність наданої інформації платники податку та їх посадові особи несуть відповідальність відповідно до норм Податкового кодексу України.</w:t>
      </w:r>
    </w:p>
    <w:p w:rsidR="00EC5458" w:rsidRDefault="00EC5458" w:rsidP="00A32723">
      <w:pPr>
        <w:spacing w:after="0" w:line="240" w:lineRule="auto"/>
        <w:jc w:val="both"/>
        <w:rPr>
          <w:rFonts w:ascii="Times New Roman" w:hAnsi="Times New Roman"/>
          <w:sz w:val="28"/>
          <w:szCs w:val="28"/>
          <w:lang w:val="uk-UA"/>
        </w:rPr>
      </w:pPr>
      <w:r>
        <w:rPr>
          <w:rFonts w:ascii="Times New Roman" w:hAnsi="Times New Roman"/>
          <w:sz w:val="28"/>
          <w:szCs w:val="28"/>
        </w:rPr>
        <w:t>11.3. Контроль за дотриманням вимог податкового законодавства у частині справляння податку на нерухоме майно, відмінне від земельної ділянки, здійснюється органами державної податкової служби.</w:t>
      </w:r>
    </w:p>
    <w:p w:rsidR="00EC5458" w:rsidRDefault="00EC5458" w:rsidP="00A32723">
      <w:pPr>
        <w:spacing w:after="0" w:line="240" w:lineRule="auto"/>
        <w:jc w:val="both"/>
        <w:rPr>
          <w:rFonts w:ascii="Times New Roman" w:hAnsi="Times New Roman"/>
          <w:sz w:val="28"/>
          <w:szCs w:val="28"/>
          <w:lang w:val="uk-UA"/>
        </w:rPr>
      </w:pPr>
    </w:p>
    <w:p w:rsidR="00EC5458" w:rsidRDefault="00EC5458" w:rsidP="00A32723">
      <w:pPr>
        <w:spacing w:after="0" w:line="240" w:lineRule="auto"/>
        <w:jc w:val="both"/>
        <w:rPr>
          <w:rFonts w:ascii="Times New Roman" w:hAnsi="Times New Roman"/>
          <w:sz w:val="28"/>
          <w:szCs w:val="28"/>
          <w:lang w:val="uk-UA"/>
        </w:rPr>
      </w:pPr>
      <w:r>
        <w:rPr>
          <w:rFonts w:ascii="Times New Roman" w:hAnsi="Times New Roman"/>
          <w:sz w:val="28"/>
          <w:szCs w:val="28"/>
          <w:lang w:val="uk-UA"/>
        </w:rPr>
        <w:t>Секретар сільської ради                                                           Ж.Л.Півницька</w:t>
      </w:r>
    </w:p>
    <w:sectPr w:rsidR="00EC5458" w:rsidSect="00A962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723"/>
    <w:rsid w:val="0038594B"/>
    <w:rsid w:val="008842FD"/>
    <w:rsid w:val="00A32723"/>
    <w:rsid w:val="00A962DE"/>
    <w:rsid w:val="00EC5458"/>
    <w:rsid w:val="00EF3D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72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2">
    <w:name w:val="rvps2"/>
    <w:basedOn w:val="Normal"/>
    <w:uiPriority w:val="99"/>
    <w:rsid w:val="00A3272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498292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1803</Words>
  <Characters>10279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dc:title>
  <dc:subject/>
  <dc:creator>Admin</dc:creator>
  <cp:keywords/>
  <dc:description/>
  <cp:lastModifiedBy>www.PHILka.RU</cp:lastModifiedBy>
  <cp:revision>2</cp:revision>
  <dcterms:created xsi:type="dcterms:W3CDTF">2014-01-28T12:14:00Z</dcterms:created>
  <dcterms:modified xsi:type="dcterms:W3CDTF">2014-01-28T12:14:00Z</dcterms:modified>
</cp:coreProperties>
</file>